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2012/14 vom 29. Oktober 2012</w:t>
      </w:r>
    </w:p>
    <w:p>
      <w:r>
        <w:t>Sg Versicherungsgericht, 2012-10-29, DE</w:t>
      </w:r>
    </w:p>
    <w:p>
      <w:r>
        <w:rPr>
          <w:b/>
        </w:rPr>
        <w:t xml:space="preserve">Quelle: </w:t>
      </w:r>
      <w:r>
        <w:t>https://mcp.opencaselaw.ch/entscheid/sg_publikationen_UV 2012_14</w:t>
      </w:r>
    </w:p>
    <w:p>
      <w:r>
        <w:t>FR: SG_VERSICHERUNGSGERICHT UV 2012/14 du 29 octobre 2012</w:t>
      </w:r>
    </w:p>
    <w:p>
      <w:r>
        <w:t>IT: SG_VERSICHERUNGSGERICHT UV 2012/14 del 29 ottobre 2012</w:t>
      </w:r>
    </w:p>
    <w:p>
      <w:pPr>
        <w:pStyle w:val="Heading2"/>
      </w:pPr>
      <w:r>
        <w:t>Regeste</w:t>
      </w:r>
    </w:p>
    <w:p>
      <w:r>
        <w:t>Art. 6 Abs. 1, Art. 18 Abs. 1 und Art. 19 Abs. 1 UVG. Der Fallabschluss per 8. August 2011 erfolgte zu Recht. Kein Anspruch auf Invalidenrente bei einem rentenausschliessenden Invaliditätsgrad von 8,8% (Entscheid des Versicherungsgerichts des Kantons St. Gallen vom 29. Oktober 2012, UV 2012/14).</w:t>
      </w:r>
    </w:p>
    <w:p>
      <w:pPr>
        <w:pStyle w:val="Heading2"/>
      </w:pPr>
      <w:r>
        <w:t>Erwägungen</w:t>
      </w:r>
    </w:p>
    <w:p>
      <w:r>
        <w:rPr>
          <w:b/>
        </w:rPr>
        <w:t>E. 1</w:t>
      </w:r>
    </w:p>
    <w:p>
      <w:r>
        <w:t>1.1   Vorab ist zu prüfen, ob die Beschwerdegegnerin den Grundsatz des Devolutiv­effekts missachtet hat, als sie am 21. Mai 2012 durch PD Dr. H.___ eine ärztliche Beurteilung erstellen liess (Suva-act. 233). 1.2   Der Beschwerde kommt als ordentliches Rechtsmittel Devolutiveffekt zu. Die Behandlung der Angelegenheit geht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(Ueli Kieser, ATSG-Kommentar, 2. Aufl. Zürich/Basel/Genf 2009, N 73 zu Art. 61). Eine Ausnahme vom Prinzip des Devolutiv­effekts gilt im Beschwerdeverfahren insofern, als der Versicherungsträger den angefochtenen Einspracheentscheid bis zu seiner Vernehmlassung in Wiedererwägung ziehen kann (Art. 53 Abs. 3 des Bundesgesetzes über den Allgemeinen Teil des Sozialversicherungsrechts, [ATSG; SR 830.1]; Kieser, a.a.O., N 74 zu Art. 61 und N 46 ff. zu Art. 53). Wegleitende Gesichtspunkte für die Beantwortung der Frage, was im kantonalen Verfahren noch zulässiges Verwaltungshandeln darstellt, bilden die inhaltliche Bedeutung der Sachverhaltsvervollständigung für die (Streit-)Sache und die zeitliche Intensität allfälliger weiterer Abklärungsmassnahmen (BGE 127 V 228 E. 2b/bb). Im konkreten Fall wurde ein Tag nach Erlass des angefochtenen Einspracheentscheids (20. Januar 2012) ein MRI durchgeführt und nebst chondromalazischem Defekt des lateralen Tibiaplateaus auch ein dringender Verdacht auf radiäre Ruptur des Vorderhorns des Innenmensikus geäussert (act. G 1.6). Der Beschwerdeführer liess dem angerufenen Versicherungsgericht den entsprechenden Bericht zukommen. Daraufhin beantragte die Beschwerdegegnerin die Edition dieser MRI-Bilder und stellte ein Sistierungsbegehren in Hinblick auf eine mögliche Wiedererwägung. Da sich unter diesen Umständen eine punktuelle Abklärung lite pendente im Sinn einer fachärztlichen Beurteilung der zum Entscheidzeitpunkt noch nicht existierenden MRI-Bilder als notwendig erwies, um zu beurteilen, ob sich allenfalls eine Wiedererwägung aufdrängte, ist der Devolutiveffekt nicht als verletzt zu betrachten und der achtseitige ärztliche Bericht vom 20. Januar 2012 aus prozessökonomischen Gründen in die Beurteilung mit einzubeziehen.</w:t>
      </w:r>
    </w:p>
    <w:p>
      <w:r>
        <w:rPr>
          <w:b/>
        </w:rPr>
        <w:t>E. 2</w:t>
      </w:r>
    </w:p>
    <w:p>
      <w:r>
        <w:t>2.1   Der Beschwerdeführer lässt in materieller Hinsicht zunächst vorbringen, dass der gesundheitliche Endzustand am 8. August 2011 noch nicht erreicht gewesen sei. Insbesondere stehe der mit MRI-Bildern vom 20. Januar 2012 festgestellte dringende Verdacht auf radiäre Ruptur des Vorderhorns des Innenmeniskus einem Fallabschluss entgegen. 2.2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2.3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mit Hinweisen). Eine namhafte Verbesserung des Gesundheitszustands des Versicherten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8C_25/2009, E. 4.1.1 mit Hinweisen). 2.4   Die Beschwerdegegnerin nahm den Fallabschluss per 8. August 2011 vor (act. G 1.4). Eingliederungsmassnahmen der IV standen zu jenem Zeitpunkt nicht mehr zur Diskussion, zumal die IV-Stelle am 28. Juni 2011 feststellte, dass weder die Voraussetzungen für Arbeitsvermittlung noch für eine realistische Vermittelbarkeit gegeben seien, da der Beschwerdeführer sich nicht in der Lage fühle, einer Arbeitstätigkeit nachzugehen und eine Anmeldung beim RAV nicht in Frage komme (Suva-act. 210). 2.5   Bereits im Austrittsbericht vom 25. November 2010 wird erwähnt, dass von der Fortsetzung der somatischen Behandlung aus orthopädischer und rehabilitativer Sicht keine namhafte Besserung erwartet werden könne und der Fallabschluss vorgeschlagen werde (Suva-act. 131). Die Empfehlung einer ambulanten psychiatrischen Weiterbehandlung erfolgte lediglich aus unfallfremden Gründen (mittelgradige depressive Episode mit latenter Suizidalität bei einer vorbestehenden depressiven Symptomatik und einer subsyndromalen posttraumatischen Belastungsstörung nach Kriegstraumatisierung, zudem Verdacht auf eine somatoforme Schmerzkomponente mit auch dissoziativ und konversiv anmutenden Tendenzen; Suva-act. 131, S. 4). Die Ursache der Schmerzen und der Sensibilitätsstörung im linken Bein konnte weder bei der neurologischen Untersuchung am 4. Februar 2011 bei Prof. Dr. F.___ (Suva-act. 165) noch bei den ambulanten Untersuchungen am 14. März (Suva-act. 177) und am 6. Mai 2011 (Suva-act. 196) im Kantonsspital St. Gallen, Klinik für Orthopädische Chirurgie, substantiiert werden und eine weitere Behandlung war nicht mehr vorgesehen. Prof. Dr. F.___ äusserte sogar den Verdacht auf eine Aggravation oder zumindest somatoforme Schmerzstörung (Suva-act. 165). Auch Kreisarzt Dr. G.___ ging am 15. März 2011 von einem Endzustand vonseiten des linken Knies seit der Entlassung aus der Rehaklinik Bellikon aus, wies jedoch darauf hin, dass sich die Prognose in Bezug auf die mögliche Entwicklung einer posttraumatischen Arthrose schwer formulieren lasse (Suva-act. 174). Bereits an den kreisärztlichen Untersuchungen vom 9. Juni 2010 (Suva-act. 51) und vom 12. Oktober 2010 (Suva-act. 95) wies er auf das Bestehen von deutlichen Chronifizierungshinweisen mit Somatisierungstendenz hin. Das Spital C.___, Klinik für Chirurgie und Orthopädie, lehnte am 24. Mai 2011 eine orthopädische Behandlung des Beschwerdeführers ab (Suva-act. 205). Seitdem waren bis zum im Beschwerdeverfahren eingereichten Bericht der Radiologie I.___ vom 20. Januar 2012 (act. G 1.6) keine medizinischen Behandlungen mehr aktenkundig. Die medizinische Aktenlage bis zum Zeitpunkt des Erlasses der Verfügung am 4. August 2011 bzw. des Einspracheentscheids am 19. Januar 2012 liess ohne weiteres den Schluss zu, dass keine namhafte Verbesserung des Gesundheitszustands des Beschwerdeführers in Hinblick auf eine Steigerung oder Wiederherstellung der Arbeitsfähigkeit zu erwarten war. Zu prüfen ist, ob sich an dieser Sachlage durch die Ergebnisse der MRI-Untersuchung vom 20. Januar 2012 etwas geändert hat. 2.6   Die MRI-Untersuchung des linken Kniegelenks vom 20. Januar 2012 ergab einen Status nach lateraler Tibiakopffraktur mit chondromalazischem Defekt des lateralen Tibiaplateaus sowie einen dringenden Verdacht auf radiäre Ruptur des Vorderhorns des Innenmeniskus (act. G 1.6). Dr. E.___ berichtete am 6. Februar 2012 über eine Verschlechterung des Gesundheitszustands des Beschwerdeführers (act. G 1.7). PD Dr. H.___ ist in seiner ärztlichen Beurteilung vom 21. Mai 2012 (Suva-act. 233) der Ansicht, dass die Tibiakopffraktur unter einem komplett erhaltenen Meniskus im lateralen Kompartiment zur Annahme einer günstigen Prognose berechtige und Folgen einer verletzungsbedingten Verschlechterung im verletzten, also lateralen Kompartiment zu erwarten seien. Eine Pathologie im Bereich der anderen Gelenkkompartimente, medial, respektive auch femoro-patellar, liesse sich als Folge einer Verletzung des lateralen Gelenkkompartiments nicht erklären. Der kernspintomografisch am 20. Januar 2012 geäusserte Verdacht auf Läsion des Vorderhorns des Innenmeniskus, also in dem nicht von der Verletzung betroffenen medialen Gelenkkompartiment, sei damit nur als unwahrscheinliche Folge des Geschehens vom 29. November 2009 einzuschätzen. Auch der Effekt der intraartikulären Infiltration vom März 2011 spreche gegen eine intraartikuläre Schmerzursache. Im Bereich des Vorderhorns des Innenmeniskus bestehe ein unklarer Befund, wobei nach Diskussion mit Dr. J.___, Facharzt für Radiologie, eine radiäre Ruptur des Vorderhorns nicht anzunehmen, der Befund jedoch gleichwohl suspekt sei. Ein natürlicher Kausalzusammenhang sei unwahrscheinlich. Die chondromalazischen Defekte entsprächen dem erwartungsgemässen Zustand nach osteosynthetisch versorgter Tibiakopffraktur. Das Ergebnis nach Verletzung könne immer nur eine Reparation sein; der ursprüngliche, unverletzte Zustand, die Restitutio ad integrum, sei für hyalinen Gelenkknorpel nicht mehr erreichbar. Die Annahme, dass die chondromalazischen Veränderungen neu aufgetreten seien, sei nicht zulässig, da seit dem Unfallgeschehen bis zum 20. Januar 2012 keine Kernspintomographie des linken Knies angefertigt worden sei und der intraoperative Arthroskopie-Befund vom 4. Dezember 2009 naturgemäss lediglich frische Verletzungsfolgen dokumentieren könne. Die chondro­malazischen Defekte ständen mit überwiegender Wahrscheinlichkeit in einem natürlichen Kausalzusammenhang mit dem Unfall vom 29. November 2009 und seien bereits in der Beurteilung von Dr. G.___ vom 15. März 2011 berücksichtigt worden. Der medizinische Endzustand sei per 24. November 2010, bei Entlassung aus der Rehabili­tationsklinik Bellikon, in dem Sinn erreicht gewesen, dass von weiteren medizinischen Massnahmen keine namhafte Erhöhung der Arbeitsfähigkeit mehr erwartet werden konnte. Mit Gutachten vom 9. Juni 2012 (act. G 11.1) erklärte Dr. E.___, dass es gegen das Gutachten von PD Dr. H.___ grundsätzlich nichts einzuwenden gebe. Er habe die gesundheitlichen Folgen beim Beschwerdeführer korrekt beurteilt. Das Vorliegen einer Innenmeniskusverletzung lasse sich nicht allein mit einer Kernspintomographie definitiv feststellen, sondern erfordere die Durchführung einer Arthroskopie anhand der Symptome. Anschliessend müsse neu beurteilt werden, ob die Meniskusruptur aufgrund der Fehlbelastung der Beine in den letzten zwei Jahren entstanden sei. Da alle bisherigen Massnahmen (Antiphlogistika, intraartikuläre Injektionen auch mit Kortikoiden) überhaupt keine Besserung erbracht hätten, würde er einer operativen Massnahme nicht uneingeschränkt zustimmen, da wohl auch durch eine Meniskusentfernung keine Besserung zu erreichen sei. Die Beurteilung entspreche dem neuesten Stand der Medizin. 2.7   Unbestritten ist, dass sich der Meniskus am 4. Dezember 2009, also fünf Tage nach dem Unfallereignis, bei der Kniearthroskopie links im medialen und lateralen Gelenkkompartiment in gesamter Zirkumferenz intakt zeigte und sich mit dem Tasthaken keine Luxation provozieren liess (Suva-act. 10). Auch am 26. März 2010 waren die Meniskuszeichen noch negativ (Suva-act. 37). Als direkte Unfallfolge scheidet die über zwei Jahre nach dem Unfallereignis erstmals verdachtweise geäusserte Läsion am Vorderhorn des Innenmeniskus somit klarerweise aus und deren traumatische Verursachung beim Unfallereignis vom 29. November 2009 ist auszuschliessen. Auch erscheint es eher unwahrscheinlich, dass die Meniskusläsion eine indirekte Unfallfolge bzw. Spätfolge bildet. Einerseits handelt es sich vorliegend ohnehin lediglich um eine Verdachtsdiagnose, andererseits wird als Ursache eines Meniskusrisses neben dem Trauma lediglich noch die Degeneration genannt (Pschyrembel, Klinisches Wörterbuch 2011, 262. neu bearbeitete und erweiterte Auflage Berlin/New York 2010, S. 1297). Der Unfall vom 29. November 2009 fällt als traumatisches Ereignis ausser Betracht. Fehl- oder Überbelastungen werden nicht als Ursache einer Meniskusläsion aufgeführt und Risse chronisch degenerierter Menisken kommen ohne Unfall oder bei geringfügigem Trauma, bei unphysio­logischen, unkoordinierten Bewegungen weit häufiger vor als die akuten Verletzungen (Alfred M. Debrunner, Orthopädie, Orthopädische Chirurgie, Patientenorientierte Diagnostik und Therapie des Bewegungsapparates, 4. Auflage 2005, S. 1057). Selbst wenn die Ruptur des Meniskus in einer Fehlbelastung der Beine begründet läge, könnte gemäss Dr. E.___ durch eine operative Massnahme keine Besserung der Beschwerden erreicht werden (act. G 11.1). Zudem ist auch aufgrund der Verletzung im medialen Segment und des Ausschlusses einer intraartikulären Schmerzgenese im Einklang mit der schlüssigen, nachvollziehbaren und in Kenntnis der medizinischen Akten abgegebenen ärztlichen Beurteilung vom 21. Mai 2012 von PD Dr. H.___ ein natürlicher Kausalzusammenhang der Meniskusläsion zum Unfallereignis vom 29. November 2009 zu verneinen. Die chondromalazischen Defekte sind gemäss Bericht von PD Dr. H.___ vom 21. Mai 2012 mit überwiegender Wahrscheinlichkeit natürlich kausal auf den Unfall vom 29. November 2009 zurückzuführen. Als Chondromalazie wird eine nachgewiesene Erweichung des Patellaknorpels bezeichnet (Pschyrembel, a.a.O., S. 372 unter "Chondromalacia patellae"). In seiner Beurteilung vom 15. März 2011 enthielt sich Dr. G.___ einer Festlegung der Integritätseinbusse, da er die mögliche Entwicklung einer posttraumatischen Arthrose nicht einschätzen könne (Suva-act. 174). Dr. E.___ befand, dass eine erneute Arthroskopie (ASC) des linken Knies drohe und in Zukunft mit einem Fortschreiten der Arthrose und einer TP-Implantation (Endoprothese) zu rechnen sei (act. G1.7). Dass sich die Notwendigkeit einer Behandlung im Sinn einer arthros­kopischen Exploration oder TP-Implantation bereits zum jetzigen Zeitpunkt ergebe und ob dies unabhängig davon allenfalls zu einer relevanten und längerfristigen Besserung des Gesundheitszustands mit Blick auf eine erhöhte Arbeitsfähigkeit führen könnte, geht aus dem Bericht von Dr. E.___ nicht hervor. Aus den Akten ergeben sich damit auch keine Behandlungsvorschläge, von denen sich der Beschwerdeführer eine ins Gewicht fallende Besserung des Gesundheitszustands erhoffen könnte. Im Übrigen können die allfälligen Folgen der Chondromalazie bzw. einer Arthrose im Rahmen von Art. 21 UVG allenfalls auch nach Festsetzung der Rente vom Unfallversicherer übernommen werden. 2.8   Der Fallabschluss per 8. August 2011 ist somit zu Recht erfolgt.</w:t>
      </w:r>
    </w:p>
    <w:p>
      <w:r>
        <w:rPr>
          <w:b/>
        </w:rPr>
        <w:t>E. 3</w:t>
      </w:r>
    </w:p>
    <w:p>
      <w:r>
        <w:t>3.1   Des Weiteren ist streitig, ob die Beschwerdegegnerin den Anspruch des Beschwerdeführers auf eine Invalidenrente zu Recht abgelehnt hat. 3.2   Gemäss Art. 18 Abs. 1 UVG hat der Versicherte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bezeichnet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 3.4   Gemäss Austrittsbericht der Rehaklinik Bellikon vom 25. November 2010 (Suva-act. 131) ist in einer leidensadaptierten Tätigkeit aus rein somatischer, medizinisch prognostischer Sicht eine leichte bis mittelschwere Arbeit ganztags zumutbar, mit den speziellen Einschränkungen, dass alternierende Körperpositionen (teils stehend/ gehend, teils sitzend) möglich sein sollen und keine wiederholten Kniezwangshaltungen wie Knien, Hocken, Kauern durchgeführt werden müssen. Dr. G.___ ging zudem davon aus, dass das Heben und Tragen von Lasten eher episodisch geschehen sollte, mit einer Gewichtslimite von 15 kg, obwohl diese Einschränkung von der Rehaklinik Bellikon nur in Bezug auf die angestammte Tätigkeit des Beschwerdeführers formuliert worden war (Suva-act. 174 S. 8 f, 131 S. 2). Die Auswirkungen des lateralen Meniskusrisses sind mangels natürlicher Kausalität beim Zumutbarkeitsprofil nicht zu berücksichtigen. Die posttraumatische Arthrose wurde in die Beurteilung von Dr. G.___ mit einbezogen, wobei er zu jenem Zeitpunkt noch keine Prognose stellen konnte. PD Dr. H.___ berichtete am 21. Mai 2012, dass sich die Situation seit der Zumutbarkeitsbeurteilung von Dr. G.___ vom 15. März 2011 nicht wesentlich geändert habe und an dieser festzuhalten sei (Suva-act. 233). Neu sei lediglich die Darstellung der chondromalazischen Defekte mittels Kernspintomographie. Die Befunde entsprächen dem erwartungsgemässen Zustand nach osteosynthetisch versorgter Tibiafraktur. Hyaliner Knorpel sei im Gegensatz zum Knochen nach Verletzung nicht in der Lage, eine komplette Wiederherstellung im Sinn der Regeneration zu erlangen. Wie es der kernspintomographische Befund ebenfalls beschreibe, seien diese chondromalazischen Defekte unter dem intakten lateralen Meniskus gelegen, welche hierdurch einen mechanischen Schutz erfahren würden. Dies bestätige die günstige Prognose von Dr. G.___. Auf diese nachvollziehbare Beurteilung ist abzustellen und es ist gestützt darauf davon auszugehen, dass der Beschwerdeführer in einer zumutbaren Tätigkeit, wie sie Dr. G.___ festgelegt hat, zu 100% arbeitsfähig ist. 3.5   Die Höhe des Valideneinkommens des Beschwerdeführers im Jahr 2011 von Fr. 54'489.-- ist an sich unbestritten. Unbestritten ist auch, dass dieses Einkommen deutlich unter dem branchenüblichen LSE-Tabellenlohn liegt. Während der Beschwerdeführer der Ansicht ist, dass bei der Parallelisierung die gesamtschweizerischen Zahlen im privaten und öffentlichen Sektor zugrunde zu legen seien, vertritt die Beschwerdegegnerin die Auffassung, es sei von den Lohnstrukturerhebungen im privaten Sektor in der Region Ostschweiz auszugehen. Gestützt auf das Urteil des Bundesgerichts vom 25. April 2012, 8C_744/2011, E. 5, sind bei der Parallelisierung die gesamtschweizerischen Zahlen massgeblich, weshalb auf den LSE-Tabellenlohn von monatlich Fr. 5'192.-- bzw. jährlich Fr. 62'304.-- (2010, TA1 im Bereich verarbeitendes Gewerbe/Herstellung von Waren [Position 10-33], Anforderungsniveau 4, Männer) abzustellen ist. Dieser Lohn ist zudem auf die in der Branche verarbeitendes Gewerbe/Herstellung von Waren (Position 10-33) betriebsübliche wöchentliche Arbeitszeit von 41,2 Stunden aufzurechnen und an die Nominallohnentwicklung 2011 (+0,9%) anzupassen. Dies ergibt ein Jahreseinkommen von Fr. 64'751.--. Der Validenlohn des Beschwerdeführers von Fr. 54'489.-- liegt 15,85% unter diesem Tabellenlohn. Der Umstand, dass der Beschwerdeführer eine Tätigkeit mit unterdurchschnittlicher Entlöhnung ausübte, war überwiegend wahrscheinlich nicht darauf zurückzuführen, dass er sich freiwillig mit einem tieferen Lohn begnügen wollte, sondern dürfte invaliditätsfremde Ursachen (eingeschränkte Arbeitsplatzauswahl auf dem für ihn in Betracht kommenden Arbeitsmarkt; fehlende einschlägige Ausbildung) gehabt haben, weshalb eine Parallelisierung (BGE 135 V 297) geboten erscheint. 3.6   Gemäss Urteil des Bundesgerichts vom 25. April 2012, 8C_744/2011, E. 6.1, hat die Ermittlung des zumutbaren Invalideneinkommens in den Fällen, bei denen zufolge Unterdurchschnittlichkeit des Valideneinkommens ein statistischer (gesamtschweizerischer) Wert anstelle des effektiv erzielten Verdienstes herangezogen wird, grundsätzlich gestützt auf den LSE-Tabellenlohn zu erfolgen. Die Beschwerdegegnerin hat im vorliegenden Fall bei der Ermittlung des Invalideneinkommens auf DAP-Profile abgestellt. Das Bundesgericht hat Invaliditätsbemessungen unter Beizug von DAP-Profilen, bei welchen es sich nicht um statistische Werte handelt (BGE 135 V 297 E. 5.2, 129 V 472 E. 4.2.1 und 4.2.2), auch in Fällen mit statistisch (gesamtschweizerisch) gesehen unterdurchschnittlichem Valideneinkommen dann geschützt, wenn der DAP-Lohn (Durchschnitt der fünf ausgewählten Arbeitsplätze; BGE 129 V 472) erheblich unter dem Durchschnitt aller den Suchkriterien entsprechenden DAP-Einkommen oder deutlich unter dem statistischen (gesamtschweizerischen) Durchschnittslohn lag (Urteile des Bundesgerichts vom 1. Dezember 2008, 8C_445/2008, E. 5.3.2, vom 26. August 2010, 8C_413/2010, E. 7 und vom 25. April 2012, 8C_744/2011, E. 7.1). Der DAP-Lohn von Fr. 55'947.-- liegt über dem Durchschnitt aller 87 gemäss dem Zumutbarkeitsprofil des Beschwerdeführers in Frage kommenden DAP-Profile von Fr. 54'634.-- (vgl. Suva-act. 226). Der LSE-Tabellenlohn von monatlich Fr. 4'901.-- bzw. jährlich Fr. 58'812.-- (2010, TA1, Anforderungsniveau 4, Männer) überschreitet nach Anpassung an die betriebsübliche wöchentliche Arbeitszeit von 41,7 Stunden und an die Nominallohnentwicklung 2011 von 1% - woraus Fr. 61'925.-- resultieren - den DAP-Lohn von Fr. 55'947.-- um 9,6%. Mit anderen Worten würde sich nach einem Leidensabzug von 10% ein Invalideneinkommen von Fr. 55'732.-- ergeben. Ein höherer Leidensabzug würde sich im vorliegenden Fall klarerweise nicht rechtfertigen. Selbst wenn nun aber dieser nach LSE bestimmte Lohn von Fr. 55'732.-- herangezogen, aufgrund der Einkommensparallelisierung um 10,85% (15,85% abzüglich 5% [BGE 135 V 297 E. 6.1.3]) herabgesetzt und dem Valideneinkommen von Fr. 54'489.-- gegenübergestellt würde, ergäbe sich lediglich ein rentenausschliessender Invaliditätsgrad von 8,8%. Die Beschwerdegegnerin hat deshalb den Anspruch auf eine Invalidenrente im Ergebnis zu Recht verneint.</w:t>
      </w:r>
    </w:p>
    <w:p>
      <w:r>
        <w:rPr>
          <w:b/>
        </w:rPr>
        <w:t>E. 4</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